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CF" w:rsidRDefault="005F1DCF" w:rsidP="005F1DCF">
      <w:pPr>
        <w:rPr>
          <w:b/>
          <w:sz w:val="36"/>
          <w:szCs w:val="36"/>
        </w:rPr>
      </w:pPr>
    </w:p>
    <w:p w:rsidR="005F1DCF" w:rsidRDefault="005F1DCF" w:rsidP="005F1DCF">
      <w:pPr>
        <w:rPr>
          <w:b/>
          <w:sz w:val="36"/>
          <w:szCs w:val="36"/>
        </w:rPr>
      </w:pPr>
    </w:p>
    <w:p w:rsidR="005F1DCF" w:rsidRDefault="005F1DCF" w:rsidP="005F1DCF">
      <w:pPr>
        <w:rPr>
          <w:b/>
          <w:sz w:val="36"/>
          <w:szCs w:val="36"/>
        </w:rPr>
      </w:pPr>
    </w:p>
    <w:p w:rsidR="005F1DCF" w:rsidRDefault="005F1DCF" w:rsidP="005F1DCF">
      <w:pPr>
        <w:rPr>
          <w:b/>
          <w:sz w:val="36"/>
          <w:szCs w:val="36"/>
        </w:rPr>
      </w:pPr>
    </w:p>
    <w:p w:rsidR="005F1DCF" w:rsidRDefault="005F1DCF" w:rsidP="005F1DCF">
      <w:pPr>
        <w:rPr>
          <w:b/>
          <w:sz w:val="36"/>
          <w:szCs w:val="36"/>
        </w:rPr>
      </w:pPr>
    </w:p>
    <w:p w:rsidR="005F1DCF" w:rsidRDefault="005F1DCF" w:rsidP="005F1DC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Rechtsstaatlich bedingte Effektivitätsverluste im deutschen Kartellrecht</w:t>
      </w:r>
    </w:p>
    <w:p w:rsidR="005F1DCF" w:rsidRDefault="005F1DCF" w:rsidP="005F1DCF">
      <w:pPr>
        <w:rPr>
          <w:b/>
          <w:sz w:val="36"/>
          <w:szCs w:val="36"/>
        </w:rPr>
      </w:pPr>
    </w:p>
    <w:p w:rsidR="005F1DCF" w:rsidRDefault="005F1DCF" w:rsidP="005F1DCF">
      <w:pPr>
        <w:rPr>
          <w:b/>
          <w:sz w:val="36"/>
          <w:szCs w:val="36"/>
        </w:rPr>
      </w:pPr>
    </w:p>
    <w:p w:rsidR="005F1DCF" w:rsidRDefault="005F1DCF" w:rsidP="005F1DCF">
      <w:pPr>
        <w:rPr>
          <w:sz w:val="36"/>
          <w:szCs w:val="36"/>
        </w:rPr>
      </w:pPr>
    </w:p>
    <w:p w:rsidR="005F1DCF" w:rsidRDefault="005F1DCF" w:rsidP="005F1DCF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</w:rPr>
        <w:tab/>
        <w:t xml:space="preserve">bei der </w:t>
      </w:r>
      <w:r>
        <w:rPr>
          <w:b/>
          <w:sz w:val="36"/>
          <w:szCs w:val="36"/>
        </w:rPr>
        <w:t>Interpretation</w:t>
      </w:r>
      <w:r>
        <w:rPr>
          <w:sz w:val="36"/>
          <w:szCs w:val="36"/>
        </w:rPr>
        <w:t xml:space="preserve"> von Kartellrechtsnormen:</w:t>
      </w:r>
    </w:p>
    <w:p w:rsidR="005F1DCF" w:rsidRDefault="005F1DCF" w:rsidP="005F1DCF">
      <w:pPr>
        <w:rPr>
          <w:sz w:val="36"/>
          <w:szCs w:val="36"/>
        </w:rPr>
      </w:pPr>
    </w:p>
    <w:p w:rsidR="005F1DCF" w:rsidRDefault="005F1DCF" w:rsidP="005F1DCF">
      <w:pPr>
        <w:ind w:left="1416" w:hanging="711"/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</w:rPr>
        <w:tab/>
        <w:t xml:space="preserve">unterschiedliche Rechtsfolgen (zivil-, verwaltungs- und </w:t>
      </w:r>
      <w:proofErr w:type="spellStart"/>
      <w:r>
        <w:rPr>
          <w:sz w:val="36"/>
          <w:szCs w:val="36"/>
        </w:rPr>
        <w:t>ordnungswidrigkeitenrechtlich</w:t>
      </w:r>
      <w:proofErr w:type="spellEnd"/>
      <w:r>
        <w:rPr>
          <w:sz w:val="36"/>
          <w:szCs w:val="36"/>
        </w:rPr>
        <w:t>)</w:t>
      </w:r>
    </w:p>
    <w:p w:rsidR="005F1DCF" w:rsidRDefault="005F1DCF" w:rsidP="005F1DCF">
      <w:pPr>
        <w:rPr>
          <w:sz w:val="36"/>
          <w:szCs w:val="36"/>
        </w:rPr>
      </w:pPr>
    </w:p>
    <w:p w:rsidR="005F1DCF" w:rsidRDefault="005F1DCF" w:rsidP="005F1DCF">
      <w:pPr>
        <w:rPr>
          <w:sz w:val="36"/>
          <w:szCs w:val="36"/>
          <w:lang w:val="it-IT"/>
        </w:rPr>
      </w:pPr>
      <w:r>
        <w:rPr>
          <w:sz w:val="36"/>
          <w:szCs w:val="36"/>
        </w:rPr>
        <w:tab/>
      </w:r>
      <w:r>
        <w:rPr>
          <w:sz w:val="36"/>
          <w:szCs w:val="36"/>
          <w:lang w:val="it-IT"/>
        </w:rPr>
        <w:t>-</w:t>
      </w:r>
      <w:r>
        <w:rPr>
          <w:sz w:val="36"/>
          <w:szCs w:val="36"/>
          <w:lang w:val="it-IT"/>
        </w:rPr>
        <w:tab/>
      </w:r>
      <w:proofErr w:type="spellStart"/>
      <w:r>
        <w:rPr>
          <w:sz w:val="36"/>
          <w:szCs w:val="36"/>
          <w:lang w:val="it-IT"/>
        </w:rPr>
        <w:t>restriktive</w:t>
      </w:r>
      <w:proofErr w:type="spellEnd"/>
      <w:r>
        <w:rPr>
          <w:sz w:val="36"/>
          <w:szCs w:val="36"/>
          <w:lang w:val="it-IT"/>
        </w:rPr>
        <w:t xml:space="preserve"> </w:t>
      </w:r>
      <w:proofErr w:type="spellStart"/>
      <w:r>
        <w:rPr>
          <w:sz w:val="36"/>
          <w:szCs w:val="36"/>
          <w:lang w:val="it-IT"/>
        </w:rPr>
        <w:t>Interpretation</w:t>
      </w:r>
      <w:proofErr w:type="spellEnd"/>
      <w:r>
        <w:rPr>
          <w:sz w:val="36"/>
          <w:szCs w:val="36"/>
          <w:lang w:val="it-IT"/>
        </w:rPr>
        <w:t xml:space="preserve"> („nulla </w:t>
      </w:r>
      <w:proofErr w:type="spellStart"/>
      <w:r>
        <w:rPr>
          <w:sz w:val="36"/>
          <w:szCs w:val="36"/>
          <w:lang w:val="it-IT"/>
        </w:rPr>
        <w:t>poena</w:t>
      </w:r>
      <w:proofErr w:type="spellEnd"/>
      <w:r>
        <w:rPr>
          <w:sz w:val="36"/>
          <w:szCs w:val="36"/>
          <w:lang w:val="it-IT"/>
        </w:rPr>
        <w:t xml:space="preserve"> sine </w:t>
      </w:r>
      <w:proofErr w:type="spellStart"/>
      <w:r>
        <w:rPr>
          <w:sz w:val="36"/>
          <w:szCs w:val="36"/>
          <w:lang w:val="it-IT"/>
        </w:rPr>
        <w:t>lege</w:t>
      </w:r>
      <w:proofErr w:type="spellEnd"/>
      <w:r>
        <w:rPr>
          <w:sz w:val="36"/>
          <w:szCs w:val="36"/>
          <w:lang w:val="it-IT"/>
        </w:rPr>
        <w:t>“)</w:t>
      </w:r>
    </w:p>
    <w:p w:rsidR="005F1DCF" w:rsidRDefault="005F1DCF" w:rsidP="005F1DCF">
      <w:pPr>
        <w:rPr>
          <w:sz w:val="36"/>
          <w:szCs w:val="36"/>
          <w:lang w:val="it-IT"/>
        </w:rPr>
      </w:pPr>
    </w:p>
    <w:p w:rsidR="005F1DCF" w:rsidRDefault="005F1DCF" w:rsidP="005F1DCF">
      <w:pPr>
        <w:rPr>
          <w:sz w:val="36"/>
          <w:szCs w:val="36"/>
          <w:lang w:val="it-IT"/>
        </w:rPr>
      </w:pPr>
    </w:p>
    <w:p w:rsidR="005F1DCF" w:rsidRDefault="005F1DCF" w:rsidP="005F1DCF">
      <w:pPr>
        <w:rPr>
          <w:sz w:val="36"/>
          <w:szCs w:val="36"/>
          <w:lang w:val="it-IT"/>
        </w:rPr>
      </w:pPr>
    </w:p>
    <w:p w:rsidR="005F1DCF" w:rsidRDefault="005F1DCF" w:rsidP="005F1DCF">
      <w:pPr>
        <w:ind w:left="705" w:hanging="705"/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</w:rPr>
        <w:tab/>
        <w:t xml:space="preserve">bei </w:t>
      </w:r>
      <w:r>
        <w:rPr>
          <w:b/>
          <w:sz w:val="36"/>
          <w:szCs w:val="36"/>
        </w:rPr>
        <w:t>Zweifeln im Tatsächlichen</w:t>
      </w:r>
      <w:r>
        <w:rPr>
          <w:sz w:val="36"/>
          <w:szCs w:val="36"/>
        </w:rPr>
        <w:t xml:space="preserve"> (Beweiswürdigung): “in </w:t>
      </w:r>
      <w:proofErr w:type="spellStart"/>
      <w:r>
        <w:rPr>
          <w:sz w:val="36"/>
          <w:szCs w:val="36"/>
        </w:rPr>
        <w:t>dubio</w:t>
      </w:r>
      <w:proofErr w:type="spellEnd"/>
      <w:r>
        <w:rPr>
          <w:sz w:val="36"/>
          <w:szCs w:val="36"/>
        </w:rPr>
        <w:t xml:space="preserve"> pro </w:t>
      </w:r>
      <w:proofErr w:type="spellStart"/>
      <w:r>
        <w:rPr>
          <w:sz w:val="36"/>
          <w:szCs w:val="36"/>
        </w:rPr>
        <w:t>reo</w:t>
      </w:r>
      <w:proofErr w:type="spellEnd"/>
      <w:r>
        <w:rPr>
          <w:sz w:val="36"/>
          <w:szCs w:val="36"/>
        </w:rPr>
        <w:t>”</w:t>
      </w:r>
    </w:p>
    <w:p w:rsidR="003771E8" w:rsidRDefault="005F1DCF" w:rsidP="00ED553E">
      <w:pPr>
        <w:ind w:left="705" w:hanging="705"/>
        <w:jc w:val="center"/>
        <w:rPr>
          <w:b/>
          <w:sz w:val="28"/>
        </w:rPr>
      </w:pPr>
      <w:r>
        <w:rPr>
          <w:sz w:val="36"/>
          <w:szCs w:val="36"/>
        </w:rPr>
        <w:br w:type="column"/>
      </w:r>
      <w:r w:rsidR="003771E8">
        <w:rPr>
          <w:b/>
          <w:sz w:val="28"/>
        </w:rPr>
        <w:lastRenderedPageBreak/>
        <w:t>Zur wettbewerbspolitischen Grundkonzeption der EU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Eine stringente theoretische Fundierung der europäischen </w:t>
      </w:r>
      <w:proofErr w:type="spellStart"/>
      <w:r>
        <w:rPr>
          <w:sz w:val="28"/>
        </w:rPr>
        <w:t>Wettbewerbspoli</w:t>
      </w:r>
      <w:r>
        <w:rPr>
          <w:sz w:val="28"/>
        </w:rPr>
        <w:softHyphen/>
        <w:t>tik</w:t>
      </w:r>
      <w:proofErr w:type="spellEnd"/>
      <w:r>
        <w:rPr>
          <w:sz w:val="28"/>
        </w:rPr>
        <w:t xml:space="preserve"> existiert nicht.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Die </w:t>
      </w:r>
      <w:r>
        <w:rPr>
          <w:b/>
          <w:sz w:val="28"/>
        </w:rPr>
        <w:t>Kommission</w:t>
      </w:r>
      <w:r>
        <w:rPr>
          <w:sz w:val="28"/>
        </w:rPr>
        <w:t xml:space="preserve"> hat seit jeher besonderen Wert auf die Förderung der grenzüberschreitenden Kooperation gelegt, weil sie sich </w:t>
      </w:r>
      <w:proofErr w:type="spellStart"/>
      <w:r>
        <w:rPr>
          <w:sz w:val="28"/>
        </w:rPr>
        <w:t>integrationspoliti</w:t>
      </w:r>
      <w:r>
        <w:rPr>
          <w:sz w:val="28"/>
        </w:rPr>
        <w:softHyphen/>
        <w:t>sche</w:t>
      </w:r>
      <w:proofErr w:type="spellEnd"/>
      <w:r>
        <w:rPr>
          <w:sz w:val="28"/>
        </w:rPr>
        <w:t xml:space="preserve"> Vorteile versprach.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Überdies hat sie stets die wettbewerbspolitischen Ziele mit den </w:t>
      </w:r>
      <w:proofErr w:type="spellStart"/>
      <w:r>
        <w:rPr>
          <w:sz w:val="28"/>
        </w:rPr>
        <w:t>industrie</w:t>
      </w:r>
      <w:r>
        <w:rPr>
          <w:sz w:val="28"/>
        </w:rPr>
        <w:softHyphen/>
        <w:t>politischen</w:t>
      </w:r>
      <w:proofErr w:type="spellEnd"/>
      <w:r>
        <w:rPr>
          <w:sz w:val="28"/>
        </w:rPr>
        <w:t xml:space="preserve"> Erfordernissen abzustimmen, was ohne Reibungsverluste nicht möglich ist. Im Vordergrund steht häufig die Wettbewerbsfähigkeit euro</w:t>
      </w:r>
      <w:r>
        <w:rPr>
          <w:sz w:val="28"/>
        </w:rPr>
        <w:softHyphen/>
        <w:t xml:space="preserve">päischer Unternehmen innerhalb der Triade, so dass große </w:t>
      </w:r>
      <w:proofErr w:type="spellStart"/>
      <w:r>
        <w:rPr>
          <w:sz w:val="28"/>
        </w:rPr>
        <w:t>Unterneh</w:t>
      </w:r>
      <w:r>
        <w:rPr>
          <w:sz w:val="28"/>
        </w:rPr>
        <w:softHyphen/>
        <w:t>menseinheiten</w:t>
      </w:r>
      <w:proofErr w:type="spellEnd"/>
      <w:r>
        <w:rPr>
          <w:sz w:val="28"/>
        </w:rPr>
        <w:t xml:space="preserve"> und ein gewisser Konzentrationsgrad durchaus erwünscht sind.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Die Äußerungen des </w:t>
      </w:r>
      <w:r>
        <w:rPr>
          <w:b/>
          <w:sz w:val="28"/>
        </w:rPr>
        <w:t>EuGH</w:t>
      </w:r>
      <w:r>
        <w:rPr>
          <w:sz w:val="28"/>
        </w:rPr>
        <w:t xml:space="preserve"> zum Wettbewerb erscheinen zunächst wider</w:t>
      </w:r>
      <w:r>
        <w:rPr>
          <w:sz w:val="28"/>
        </w:rPr>
        <w:softHyphen/>
        <w:t xml:space="preserve">sprüchlich: 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>Einerseits betont er regelmäßig, dass grundsätzlich der Wettbewerb auf allen Wirtschaftsstufen und in allen Formen schutzwürdig ist. Es gibt keinen Vor</w:t>
      </w:r>
      <w:r>
        <w:rPr>
          <w:sz w:val="28"/>
        </w:rPr>
        <w:softHyphen/>
        <w:t>rang bestimmter Parameter. Ebenso wenig wird unterschieden zwischen An</w:t>
      </w:r>
      <w:r>
        <w:rPr>
          <w:sz w:val="28"/>
        </w:rPr>
        <w:softHyphen/>
        <w:t>gebots- und Nachfragewettbewerb oder zwischen aktuellem und potentiel</w:t>
      </w:r>
      <w:r>
        <w:rPr>
          <w:sz w:val="28"/>
        </w:rPr>
        <w:softHyphen/>
        <w:t>lem Wettbewerb. In verschiedenen Entscheidungen setzt er hingegen den unverfälschten Wettbewerb (eingrenzend) mit dem Leistungswettbewerb gleich.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b/>
          <w:sz w:val="28"/>
        </w:rPr>
      </w:pPr>
      <w:r>
        <w:rPr>
          <w:sz w:val="28"/>
        </w:rPr>
        <w:t xml:space="preserve">Solche Widersprüche resultieren aus der integrationspolitischen Motivation der EuGH-Rechtsprechung. Der Gerichtshof stellt die europäischen </w:t>
      </w:r>
      <w:proofErr w:type="spellStart"/>
      <w:r>
        <w:rPr>
          <w:sz w:val="28"/>
        </w:rPr>
        <w:t>Wett</w:t>
      </w:r>
      <w:r>
        <w:rPr>
          <w:sz w:val="28"/>
        </w:rPr>
        <w:softHyphen/>
        <w:t>bewerbsregeln</w:t>
      </w:r>
      <w:proofErr w:type="spellEnd"/>
      <w:r>
        <w:rPr>
          <w:sz w:val="28"/>
        </w:rPr>
        <w:t xml:space="preserve"> in den Dienst der Öffnung und der gegenseitigen Durchdrin</w:t>
      </w:r>
      <w:r>
        <w:rPr>
          <w:sz w:val="28"/>
        </w:rPr>
        <w:softHyphen/>
        <w:t xml:space="preserve">gung der Märkte. Er hat sich daher nicht auf eine bestimmte </w:t>
      </w:r>
      <w:proofErr w:type="spellStart"/>
      <w:r>
        <w:rPr>
          <w:sz w:val="28"/>
        </w:rPr>
        <w:t>Wettbewerbs</w:t>
      </w:r>
      <w:r>
        <w:rPr>
          <w:sz w:val="28"/>
        </w:rPr>
        <w:softHyphen/>
        <w:t>konzeption</w:t>
      </w:r>
      <w:proofErr w:type="spellEnd"/>
      <w:r>
        <w:rPr>
          <w:sz w:val="28"/>
        </w:rPr>
        <w:t xml:space="preserve"> festgelegt, sondern zeigt ein ausgesprochen pragmatisches Vor</w:t>
      </w:r>
      <w:r>
        <w:rPr>
          <w:sz w:val="28"/>
        </w:rPr>
        <w:softHyphen/>
        <w:t>gehen, das vornehmlich auf die Verwirklichung und Erhaltung des euro</w:t>
      </w:r>
      <w:r>
        <w:rPr>
          <w:sz w:val="28"/>
        </w:rPr>
        <w:softHyphen/>
        <w:t>päischen Binnenmarktes gerichtet ist.</w:t>
      </w:r>
      <w:r>
        <w:rPr>
          <w:sz w:val="28"/>
        </w:rPr>
        <w:br w:type="page"/>
      </w:r>
      <w:r>
        <w:rPr>
          <w:b/>
          <w:sz w:val="28"/>
        </w:rPr>
        <w:lastRenderedPageBreak/>
        <w:t>Zum Verhältnis von nationalem und europäischem Kartellrecht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>Die Walt Wilhelm-Doktrin des EuGH (1969):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„Die Geltungskraft des Vertrages und der zu seiner Anwendung getroffenen Maßnahmen darf nicht von Staat zu Staat aufgrund der nationalen </w:t>
      </w:r>
      <w:proofErr w:type="spellStart"/>
      <w:r>
        <w:rPr>
          <w:sz w:val="28"/>
        </w:rPr>
        <w:t>Rechts</w:t>
      </w:r>
      <w:r>
        <w:rPr>
          <w:sz w:val="28"/>
        </w:rPr>
        <w:softHyphen/>
        <w:t>akte</w:t>
      </w:r>
      <w:proofErr w:type="spellEnd"/>
      <w:r>
        <w:rPr>
          <w:sz w:val="28"/>
        </w:rPr>
        <w:t xml:space="preserve"> verschieden sein; anderenfalls würde die Wirkung der </w:t>
      </w:r>
      <w:proofErr w:type="spellStart"/>
      <w:r>
        <w:rPr>
          <w:sz w:val="28"/>
        </w:rPr>
        <w:t>Gemeinschafts</w:t>
      </w:r>
      <w:r>
        <w:rPr>
          <w:sz w:val="28"/>
        </w:rPr>
        <w:softHyphen/>
        <w:t>ordnung</w:t>
      </w:r>
      <w:proofErr w:type="spellEnd"/>
      <w:r>
        <w:rPr>
          <w:sz w:val="28"/>
        </w:rPr>
        <w:t xml:space="preserve"> beeinträchtigt und die Verwirklichung der Vertragsziele gefährdet werden. Normenkonflikte zwischen Gemeinschafts- und innerstaatlichem Kartellrecht sind daher nach dem Grundsatz des Vorrangs des Gemein</w:t>
      </w:r>
      <w:r>
        <w:rPr>
          <w:sz w:val="28"/>
        </w:rPr>
        <w:softHyphen/>
        <w:t>schaftsrechts zu lösen.“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Folgerung: Europäisches und nationales Kartellrecht sind zwar grundsätzlich nebeneinander anwendbar. Im Konfliktfall muss das nationale Recht aber zurücktreten, damit eine einheitliche Geltung des europäischen </w:t>
      </w:r>
      <w:proofErr w:type="spellStart"/>
      <w:r>
        <w:rPr>
          <w:sz w:val="28"/>
        </w:rPr>
        <w:t>Wettbe</w:t>
      </w:r>
      <w:r>
        <w:rPr>
          <w:sz w:val="28"/>
        </w:rPr>
        <w:softHyphen/>
        <w:t>werbsrechts</w:t>
      </w:r>
      <w:proofErr w:type="spellEnd"/>
      <w:r>
        <w:rPr>
          <w:sz w:val="28"/>
        </w:rPr>
        <w:t xml:space="preserve"> innerhalb der Union gewährleistet ist. Das nationale Recht wird aber lediglich von der Anwendung im konkreten Streitfall ausgeschlossen, es wird nicht etwa aufgehoben (Anwendungs-, nicht Geltungsvorrang).</w:t>
      </w:r>
    </w:p>
    <w:p w:rsidR="003771E8" w:rsidRDefault="003771E8" w:rsidP="003771E8">
      <w:pPr>
        <w:spacing w:line="360" w:lineRule="atLeast"/>
        <w:jc w:val="center"/>
        <w:rPr>
          <w:sz w:val="28"/>
        </w:rPr>
      </w:pPr>
      <w:r>
        <w:rPr>
          <w:sz w:val="28"/>
        </w:rPr>
        <w:br w:type="page"/>
      </w:r>
    </w:p>
    <w:p w:rsidR="003771E8" w:rsidRDefault="003771E8" w:rsidP="003771E8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Die Kompetenzverteilung bei der Anwendung des Kartellrechts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Die </w:t>
      </w:r>
      <w:r>
        <w:rPr>
          <w:b/>
          <w:sz w:val="28"/>
        </w:rPr>
        <w:t>Kommission</w:t>
      </w:r>
      <w:r>
        <w:rPr>
          <w:sz w:val="28"/>
        </w:rPr>
        <w:t xml:space="preserve"> (federführend die Generaldirektion Wettbewerb) ist die einzige eu</w:t>
      </w:r>
      <w:r>
        <w:rPr>
          <w:sz w:val="28"/>
        </w:rPr>
        <w:softHyphen/>
        <w:t>ropäische Kartellbehörde. Sie besitzt umfangreiche Entscheidungs- und Ermittlungsbefugnisse (einschl. Auskunfts- und Nachprüfungsrechte). Alle Entschei</w:t>
      </w:r>
      <w:r>
        <w:rPr>
          <w:sz w:val="28"/>
        </w:rPr>
        <w:softHyphen/>
        <w:t>dungen der Kommission sind durch eine Klage beim Gericht anfechtbar.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Die </w:t>
      </w:r>
      <w:r>
        <w:rPr>
          <w:b/>
          <w:sz w:val="28"/>
        </w:rPr>
        <w:t>nationalen Kartellbehörden</w:t>
      </w:r>
      <w:r>
        <w:rPr>
          <w:sz w:val="28"/>
        </w:rPr>
        <w:t xml:space="preserve"> sind berechtigt und verpflich</w:t>
      </w:r>
      <w:r>
        <w:rPr>
          <w:sz w:val="28"/>
        </w:rPr>
        <w:softHyphen/>
        <w:t xml:space="preserve">tet, die </w:t>
      </w:r>
      <w:proofErr w:type="spellStart"/>
      <w:r>
        <w:rPr>
          <w:sz w:val="28"/>
        </w:rPr>
        <w:t>Wett</w:t>
      </w:r>
      <w:r>
        <w:rPr>
          <w:sz w:val="28"/>
        </w:rPr>
        <w:softHyphen/>
        <w:t>bewerbsregeln</w:t>
      </w:r>
      <w:proofErr w:type="spellEnd"/>
      <w:r>
        <w:rPr>
          <w:sz w:val="28"/>
        </w:rPr>
        <w:t xml:space="preserve"> des AEUV anzuwenden, solange die Kommission noch kein Verfahren eingeleitet hat.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Aufgrund der unmittelbaren Wirkung der europäischen </w:t>
      </w:r>
      <w:proofErr w:type="spellStart"/>
      <w:r>
        <w:rPr>
          <w:sz w:val="28"/>
        </w:rPr>
        <w:t>Wettbe</w:t>
      </w:r>
      <w:r>
        <w:rPr>
          <w:sz w:val="28"/>
        </w:rPr>
        <w:softHyphen/>
        <w:t>werbsregeln</w:t>
      </w:r>
      <w:proofErr w:type="spellEnd"/>
      <w:r>
        <w:rPr>
          <w:sz w:val="28"/>
        </w:rPr>
        <w:t xml:space="preserve"> sind auch die </w:t>
      </w:r>
      <w:r>
        <w:rPr>
          <w:b/>
          <w:sz w:val="28"/>
        </w:rPr>
        <w:t>nationalen Gerichte</w:t>
      </w:r>
      <w:r>
        <w:rPr>
          <w:sz w:val="28"/>
        </w:rPr>
        <w:t xml:space="preserve"> zu ihrer Anwen</w:t>
      </w:r>
      <w:r>
        <w:rPr>
          <w:sz w:val="28"/>
        </w:rPr>
        <w:softHyphen/>
        <w:t xml:space="preserve">dung verpflichtet. Sie haben ihre Befugnisse unabhängig von den Kartellbehörden auszuüben und brauchen die entsprechende </w:t>
      </w:r>
      <w:proofErr w:type="spellStart"/>
      <w:r>
        <w:rPr>
          <w:sz w:val="28"/>
        </w:rPr>
        <w:t>Ent</w:t>
      </w:r>
      <w:r>
        <w:rPr>
          <w:sz w:val="28"/>
        </w:rPr>
        <w:softHyphen/>
        <w:t>scheidungspraxis</w:t>
      </w:r>
      <w:proofErr w:type="spellEnd"/>
      <w:r>
        <w:rPr>
          <w:sz w:val="28"/>
        </w:rPr>
        <w:t xml:space="preserve"> der Kommission nicht zu berücksichtigen. Bin</w:t>
      </w:r>
      <w:r>
        <w:rPr>
          <w:sz w:val="28"/>
        </w:rPr>
        <w:softHyphen/>
        <w:t>dend für die nationalen Gerichte sind jedoch die rechts</w:t>
      </w:r>
      <w:r>
        <w:rPr>
          <w:sz w:val="28"/>
        </w:rPr>
        <w:softHyphen/>
        <w:t>kräftigen individuellen Entscheidungen der Kommission.</w:t>
      </w:r>
      <w:r>
        <w:rPr>
          <w:sz w:val="28"/>
        </w:rPr>
        <w:br w:type="page"/>
      </w:r>
    </w:p>
    <w:p w:rsidR="003771E8" w:rsidRDefault="003771E8" w:rsidP="003771E8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Europäisches Kartellrecht und Rechtsstaatsprinzip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Die </w:t>
      </w:r>
      <w:r>
        <w:rPr>
          <w:b/>
          <w:sz w:val="28"/>
        </w:rPr>
        <w:t>Kommission</w:t>
      </w:r>
      <w:r>
        <w:rPr>
          <w:sz w:val="28"/>
        </w:rPr>
        <w:t xml:space="preserve"> hat eine Vielzahl von Aufgaben zu erfüllen, die in rechts</w:t>
      </w:r>
      <w:r>
        <w:rPr>
          <w:sz w:val="28"/>
        </w:rPr>
        <w:softHyphen/>
        <w:t>staatlich verfassten Gesellschaften auf unterschiedliche Organe verteilt sind. So ist sie zugleich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Verordnungsgeber,</w:t>
      </w:r>
    </w:p>
    <w:p w:rsidR="003771E8" w:rsidRDefault="003771E8" w:rsidP="003771E8">
      <w:pPr>
        <w:jc w:val="both"/>
        <w:rPr>
          <w:sz w:val="28"/>
        </w:rPr>
      </w:pPr>
    </w:p>
    <w:p w:rsidR="003771E8" w:rsidRDefault="003771E8" w:rsidP="003771E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Konzipierungsinstanz für die europäische Wettbewerbspolitik und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ind w:left="705" w:hanging="705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Exekutivorgan im Hinblick auf die Wettbewerbsregeln, in den meisten </w:t>
      </w:r>
      <w:r>
        <w:rPr>
          <w:sz w:val="28"/>
        </w:rPr>
        <w:tab/>
        <w:t>Bereichen mit einer ausschließlichen Zuständigkeit ausgestat</w:t>
      </w:r>
      <w:r>
        <w:rPr>
          <w:sz w:val="28"/>
        </w:rPr>
        <w:softHyphen/>
        <w:t xml:space="preserve">tet oder </w:t>
      </w:r>
      <w:r>
        <w:rPr>
          <w:sz w:val="28"/>
        </w:rPr>
        <w:tab/>
        <w:t xml:space="preserve">zumindest mit der Befugnis, einen Fall durch die Eröffnung eines </w:t>
      </w:r>
      <w:r>
        <w:rPr>
          <w:sz w:val="28"/>
        </w:rPr>
        <w:tab/>
        <w:t>förmlichen Verfahrens an sich zu ziehen.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Hinzu kommt die (insbesondere von den angelsächsischen Ländern </w:t>
      </w:r>
      <w:r>
        <w:rPr>
          <w:sz w:val="28"/>
        </w:rPr>
        <w:tab/>
        <w:t xml:space="preserve">als systemwidrig kritisierte) Kompetenz, Bußgelder zu verhängen </w:t>
      </w:r>
      <w:r>
        <w:rPr>
          <w:sz w:val="28"/>
        </w:rPr>
        <w:tab/>
        <w:t xml:space="preserve">sowie das damit einhergehende Zusammenfallen von Ermittler-, </w:t>
      </w:r>
      <w:r>
        <w:rPr>
          <w:sz w:val="28"/>
        </w:rPr>
        <w:tab/>
        <w:t>Ankläger- und Richterfunktion.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>Eine solche Kompetenzausstattung widerspricht an sich dem rechtsstaatlich geforderten Gewaltenteilungsprinzip.</w:t>
      </w: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</w:p>
    <w:p w:rsidR="003771E8" w:rsidRDefault="003771E8" w:rsidP="003771E8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Auch die Rechtsprechung des </w:t>
      </w:r>
      <w:r>
        <w:rPr>
          <w:b/>
          <w:sz w:val="28"/>
        </w:rPr>
        <w:t xml:space="preserve">EuGH (bzw. Gerichtes) </w:t>
      </w:r>
      <w:r>
        <w:rPr>
          <w:sz w:val="28"/>
        </w:rPr>
        <w:t xml:space="preserve">ist nicht in einem der deutschen Judikatur </w:t>
      </w:r>
      <w:proofErr w:type="gramStart"/>
      <w:r>
        <w:rPr>
          <w:sz w:val="28"/>
        </w:rPr>
        <w:t>vergleichbaren Maße</w:t>
      </w:r>
      <w:proofErr w:type="gramEnd"/>
      <w:r>
        <w:rPr>
          <w:sz w:val="28"/>
        </w:rPr>
        <w:t xml:space="preserve"> durch den Verweis auf rechts</w:t>
      </w:r>
      <w:r>
        <w:rPr>
          <w:sz w:val="28"/>
        </w:rPr>
        <w:softHyphen/>
        <w:t>staatliche Erfordernisse geprägt. Dies gilt sowohl für den Bereich der Ausle</w:t>
      </w:r>
      <w:r>
        <w:rPr>
          <w:sz w:val="28"/>
        </w:rPr>
        <w:softHyphen/>
        <w:t>gung (Rechtsfortbildung) als auch für die tatsächliche Ebene (Zulässigkeit von Indizienbeweisen).</w:t>
      </w:r>
    </w:p>
    <w:p w:rsidR="00DF66DB" w:rsidRDefault="00DF66DB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3771E8"/>
    <w:p w:rsidR="00BD5D93" w:rsidRDefault="00BD5D93" w:rsidP="00BD5D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Zu den Freistellungsvoraussetzungen des Art. 101 Abs. 3 AEUV</w:t>
      </w:r>
      <w:r>
        <w:rPr>
          <w:b/>
          <w:sz w:val="28"/>
        </w:rPr>
        <w:br/>
        <w:t>- Kriterien im Hinblick auf selektive Vertriebssysteme</w:t>
      </w:r>
    </w:p>
    <w:p w:rsidR="00BD5D93" w:rsidRDefault="00BD5D93" w:rsidP="00BD5D93">
      <w:pPr>
        <w:jc w:val="center"/>
        <w:rPr>
          <w:b/>
          <w:sz w:val="28"/>
        </w:rPr>
      </w:pPr>
    </w:p>
    <w:p w:rsidR="00BD5D93" w:rsidRDefault="00BD5D93" w:rsidP="00BD5D93">
      <w:pPr>
        <w:pStyle w:val="Textkrper"/>
      </w:pPr>
      <w:r>
        <w:rPr>
          <w:u w:val="single"/>
        </w:rPr>
        <w:t>Angemessene Beteiligung der Verbraucher an dem entstehenden Gewinn</w:t>
      </w:r>
      <w:r>
        <w:t xml:space="preserve"> durch</w:t>
      </w:r>
    </w:p>
    <w:p w:rsidR="00BD5D93" w:rsidRDefault="00BD5D93" w:rsidP="00BD5D93">
      <w:pPr>
        <w:ind w:left="705" w:hanging="70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kontinuierliche, schnelle Versorgung der Verbraucher mit der Vertragsware</w:t>
      </w:r>
    </w:p>
    <w:p w:rsidR="00BD5D93" w:rsidRDefault="00BD5D93" w:rsidP="00BD5D93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Vermittlung eines guten Überblicks über das Verkaufsprogramm</w:t>
      </w:r>
    </w:p>
    <w:p w:rsidR="00BD5D93" w:rsidRDefault="00BD5D93" w:rsidP="00BD5D93">
      <w:pPr>
        <w:ind w:left="705" w:hanging="70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Garantie einer Mindestsortimentsbreite, nicht nur Angebot renditeträchtiger Artikel</w:t>
      </w:r>
    </w:p>
    <w:p w:rsidR="00BD5D93" w:rsidRDefault="00BD5D93" w:rsidP="00BD5D93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fachkundige Beratung</w:t>
      </w:r>
    </w:p>
    <w:p w:rsidR="00BD5D93" w:rsidRDefault="00BD5D93" w:rsidP="00BD5D93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Gewährleistung eines funktionsfähigen Kundendienstes</w:t>
      </w:r>
    </w:p>
    <w:p w:rsidR="00BD5D93" w:rsidRDefault="00BD5D93" w:rsidP="00BD5D93">
      <w:pPr>
        <w:rPr>
          <w:sz w:val="28"/>
        </w:rPr>
      </w:pPr>
    </w:p>
    <w:p w:rsidR="00BD5D93" w:rsidRDefault="00BD5D93" w:rsidP="00BD5D93">
      <w:pPr>
        <w:rPr>
          <w:sz w:val="28"/>
        </w:rPr>
      </w:pPr>
    </w:p>
    <w:p w:rsidR="00BD5D93" w:rsidRDefault="00BD5D93" w:rsidP="00BD5D93">
      <w:pPr>
        <w:rPr>
          <w:sz w:val="28"/>
        </w:rPr>
      </w:pPr>
      <w:r>
        <w:rPr>
          <w:sz w:val="28"/>
          <w:u w:val="single"/>
        </w:rPr>
        <w:t>Verbesserung der Warenerzeugung oder –</w:t>
      </w:r>
      <w:proofErr w:type="spellStart"/>
      <w:r>
        <w:rPr>
          <w:sz w:val="28"/>
          <w:u w:val="single"/>
        </w:rPr>
        <w:t>verteilung</w:t>
      </w:r>
      <w:proofErr w:type="spellEnd"/>
      <w:r>
        <w:rPr>
          <w:sz w:val="28"/>
        </w:rPr>
        <w:t xml:space="preserve"> durch</w:t>
      </w:r>
    </w:p>
    <w:p w:rsidR="00BD5D93" w:rsidRDefault="00BD5D93" w:rsidP="00BD5D93">
      <w:pPr>
        <w:rPr>
          <w:sz w:val="28"/>
        </w:rPr>
      </w:pPr>
    </w:p>
    <w:p w:rsidR="00BD5D93" w:rsidRDefault="00BD5D93" w:rsidP="00BD5D93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Vertrieb über kompetente Fachhändler</w:t>
      </w:r>
    </w:p>
    <w:p w:rsidR="00BD5D93" w:rsidRDefault="00BD5D93" w:rsidP="00BD5D93">
      <w:pPr>
        <w:ind w:left="705" w:hanging="70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schnelle Information des Herstellers über Absatzprobleme (marketingpolitischer oder technischer Art)</w:t>
      </w:r>
    </w:p>
    <w:p w:rsidR="00BD5D93" w:rsidRDefault="00BD5D93" w:rsidP="00BD5D93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bessere Vorausdisposition des Herstellers, verkürzte Lieferfristen</w:t>
      </w:r>
    </w:p>
    <w:p w:rsidR="00BD5D93" w:rsidRDefault="00BD5D93" w:rsidP="00BD5D93">
      <w:pPr>
        <w:ind w:left="705" w:hanging="70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Rationalisierungspotentiale bei Lagerhaltung, Vertrieb und Fertigung</w:t>
      </w:r>
    </w:p>
    <w:p w:rsidR="00BD5D93" w:rsidRDefault="00BD5D93" w:rsidP="00BD5D93">
      <w:pPr>
        <w:rPr>
          <w:sz w:val="28"/>
        </w:rPr>
      </w:pPr>
    </w:p>
    <w:p w:rsidR="00BD5D93" w:rsidRDefault="00BD5D93" w:rsidP="00BD5D93">
      <w:pPr>
        <w:rPr>
          <w:sz w:val="28"/>
        </w:rPr>
      </w:pPr>
      <w:r>
        <w:rPr>
          <w:sz w:val="28"/>
          <w:u w:val="single"/>
        </w:rPr>
        <w:t>Förderung des wirtschaftlichen oder technischen Fortschritts</w:t>
      </w:r>
      <w:r>
        <w:rPr>
          <w:sz w:val="28"/>
        </w:rPr>
        <w:t xml:space="preserve"> durch</w:t>
      </w:r>
    </w:p>
    <w:p w:rsidR="00BD5D93" w:rsidRDefault="00BD5D93" w:rsidP="00BD5D93">
      <w:pPr>
        <w:rPr>
          <w:sz w:val="28"/>
        </w:rPr>
      </w:pPr>
    </w:p>
    <w:p w:rsidR="00BD5D93" w:rsidRDefault="00BD5D93" w:rsidP="00BD5D93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Rationalisierung</w:t>
      </w:r>
    </w:p>
    <w:p w:rsidR="00BD5D93" w:rsidRDefault="00BD5D93" w:rsidP="00BD5D93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einheitliche Anwendung technischer Normen</w:t>
      </w:r>
    </w:p>
    <w:p w:rsidR="00BD5D93" w:rsidRDefault="00BD5D93" w:rsidP="00BD5D93">
      <w:pPr>
        <w:ind w:left="705" w:hanging="70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Übernahme der Forschungs- und Entwicklungsarbeit durch die Systemzentrale</w:t>
      </w:r>
    </w:p>
    <w:p w:rsidR="00BD5D93" w:rsidRDefault="00BD5D93" w:rsidP="00BD5D93">
      <w:pPr>
        <w:pStyle w:val="berschrift1"/>
        <w:numPr>
          <w:ilvl w:val="0"/>
          <w:numId w:val="1"/>
        </w:numPr>
        <w:tabs>
          <w:tab w:val="left" w:pos="0"/>
        </w:tabs>
        <w:rPr>
          <w:u w:val="none"/>
        </w:rPr>
      </w:pPr>
    </w:p>
    <w:p w:rsidR="00BD5D93" w:rsidRDefault="00BD5D93" w:rsidP="00BD5D93">
      <w:pPr>
        <w:pStyle w:val="berschrift1"/>
        <w:numPr>
          <w:ilvl w:val="0"/>
          <w:numId w:val="1"/>
        </w:numPr>
        <w:tabs>
          <w:tab w:val="left" w:pos="0"/>
        </w:tabs>
      </w:pPr>
      <w:r>
        <w:t>Nur unerlässliche Beschränkungen sind gerechtfertigt:</w:t>
      </w:r>
    </w:p>
    <w:p w:rsidR="00BD5D93" w:rsidRDefault="00BD5D93" w:rsidP="00BD5D93">
      <w:pPr>
        <w:rPr>
          <w:sz w:val="28"/>
        </w:rPr>
      </w:pPr>
    </w:p>
    <w:p w:rsidR="00BD5D93" w:rsidRDefault="00BD5D93" w:rsidP="00BD5D93">
      <w:pPr>
        <w:rPr>
          <w:sz w:val="28"/>
        </w:rPr>
      </w:pPr>
      <w:r>
        <w:rPr>
          <w:sz w:val="28"/>
        </w:rPr>
        <w:t>Die vertraglichen Bindungen müssen geeignet, erforderlich und angemessen sein (Verhältnismäßigkeitsprüfung)</w:t>
      </w:r>
    </w:p>
    <w:p w:rsidR="00BD5D93" w:rsidRDefault="00BD5D93" w:rsidP="00BD5D93">
      <w:pPr>
        <w:rPr>
          <w:sz w:val="28"/>
        </w:rPr>
      </w:pPr>
    </w:p>
    <w:p w:rsidR="00BD5D93" w:rsidRDefault="00BD5D93" w:rsidP="00BD5D93">
      <w:pPr>
        <w:pStyle w:val="berschrift1"/>
        <w:numPr>
          <w:ilvl w:val="0"/>
          <w:numId w:val="1"/>
        </w:numPr>
        <w:tabs>
          <w:tab w:val="left" w:pos="0"/>
        </w:tabs>
      </w:pPr>
      <w:r>
        <w:t>Keine Ausschaltung des Wettbewerbs</w:t>
      </w:r>
    </w:p>
    <w:p w:rsidR="00BD5D93" w:rsidRDefault="00BD5D93" w:rsidP="00BD5D93">
      <w:pPr>
        <w:pStyle w:val="berschrift1"/>
        <w:numPr>
          <w:ilvl w:val="0"/>
          <w:numId w:val="1"/>
        </w:numPr>
        <w:tabs>
          <w:tab w:val="left" w:pos="0"/>
        </w:tabs>
      </w:pPr>
    </w:p>
    <w:p w:rsidR="00BD5D93" w:rsidRDefault="00BD5D93" w:rsidP="00BD5D93">
      <w:pPr>
        <w:pStyle w:val="berschrift1"/>
        <w:numPr>
          <w:ilvl w:val="0"/>
          <w:numId w:val="0"/>
        </w:numPr>
        <w:tabs>
          <w:tab w:val="left" w:pos="705"/>
        </w:tabs>
        <w:ind w:left="705" w:hanging="705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Systeme mit einem Marktanteil bis zu 20 % sind regelmäßig unbedenklich</w:t>
      </w:r>
    </w:p>
    <w:p w:rsidR="00BD5D93" w:rsidRDefault="00BD5D93" w:rsidP="00BD5D93">
      <w:pPr>
        <w:ind w:left="705" w:hanging="705"/>
      </w:pPr>
      <w:r>
        <w:rPr>
          <w:sz w:val="28"/>
        </w:rPr>
        <w:t>-</w:t>
      </w:r>
      <w:r>
        <w:rPr>
          <w:sz w:val="28"/>
        </w:rPr>
        <w:tab/>
        <w:t>Systeme mit einem Marktanteil von über 20 % erfordern eine Einzelfallprüfung unter besonderer Berücksichtigung der Marktzutrittsschranken</w:t>
      </w:r>
      <w:bookmarkStart w:id="0" w:name="_GoBack"/>
      <w:bookmarkEnd w:id="0"/>
    </w:p>
    <w:sectPr w:rsidR="00BD5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8"/>
    <w:rsid w:val="0001110E"/>
    <w:rsid w:val="00022BBE"/>
    <w:rsid w:val="00023FA0"/>
    <w:rsid w:val="0002461A"/>
    <w:rsid w:val="00043E8C"/>
    <w:rsid w:val="000722A5"/>
    <w:rsid w:val="000A2ABA"/>
    <w:rsid w:val="000F250A"/>
    <w:rsid w:val="000F4DA5"/>
    <w:rsid w:val="00103FF3"/>
    <w:rsid w:val="00123638"/>
    <w:rsid w:val="00123C9E"/>
    <w:rsid w:val="00133B56"/>
    <w:rsid w:val="00133EDB"/>
    <w:rsid w:val="00144302"/>
    <w:rsid w:val="00154F9A"/>
    <w:rsid w:val="001632DC"/>
    <w:rsid w:val="00163580"/>
    <w:rsid w:val="0016662F"/>
    <w:rsid w:val="001859C4"/>
    <w:rsid w:val="0019088F"/>
    <w:rsid w:val="0019472D"/>
    <w:rsid w:val="001A041D"/>
    <w:rsid w:val="001A6030"/>
    <w:rsid w:val="001C6472"/>
    <w:rsid w:val="001E2035"/>
    <w:rsid w:val="001E3312"/>
    <w:rsid w:val="001E4C76"/>
    <w:rsid w:val="001F5DFF"/>
    <w:rsid w:val="002028B8"/>
    <w:rsid w:val="002165EA"/>
    <w:rsid w:val="00236214"/>
    <w:rsid w:val="00244C65"/>
    <w:rsid w:val="0025042B"/>
    <w:rsid w:val="00260DFC"/>
    <w:rsid w:val="00267207"/>
    <w:rsid w:val="00271A0D"/>
    <w:rsid w:val="00273195"/>
    <w:rsid w:val="002D3F76"/>
    <w:rsid w:val="002D65D1"/>
    <w:rsid w:val="00300A28"/>
    <w:rsid w:val="00302A1D"/>
    <w:rsid w:val="00305E14"/>
    <w:rsid w:val="003100F4"/>
    <w:rsid w:val="00316664"/>
    <w:rsid w:val="0033572D"/>
    <w:rsid w:val="0034586C"/>
    <w:rsid w:val="00353ADB"/>
    <w:rsid w:val="00370A3C"/>
    <w:rsid w:val="003718AA"/>
    <w:rsid w:val="00372B33"/>
    <w:rsid w:val="003771E8"/>
    <w:rsid w:val="003A2D46"/>
    <w:rsid w:val="003A6360"/>
    <w:rsid w:val="003B249A"/>
    <w:rsid w:val="003C28EF"/>
    <w:rsid w:val="003D71E3"/>
    <w:rsid w:val="003F003C"/>
    <w:rsid w:val="003F0B41"/>
    <w:rsid w:val="00417CF4"/>
    <w:rsid w:val="00433016"/>
    <w:rsid w:val="004342AB"/>
    <w:rsid w:val="00434788"/>
    <w:rsid w:val="00447FF9"/>
    <w:rsid w:val="004616A4"/>
    <w:rsid w:val="0047318B"/>
    <w:rsid w:val="004853BC"/>
    <w:rsid w:val="004A2028"/>
    <w:rsid w:val="004A31ED"/>
    <w:rsid w:val="004B1B05"/>
    <w:rsid w:val="004B20AD"/>
    <w:rsid w:val="004B4F36"/>
    <w:rsid w:val="004B4FAD"/>
    <w:rsid w:val="004C43F8"/>
    <w:rsid w:val="004C4B48"/>
    <w:rsid w:val="004E6117"/>
    <w:rsid w:val="004F0297"/>
    <w:rsid w:val="00504EFB"/>
    <w:rsid w:val="00511AB9"/>
    <w:rsid w:val="00513A68"/>
    <w:rsid w:val="005151C5"/>
    <w:rsid w:val="005403A2"/>
    <w:rsid w:val="005522D6"/>
    <w:rsid w:val="00573FE0"/>
    <w:rsid w:val="00577CCE"/>
    <w:rsid w:val="00586CEB"/>
    <w:rsid w:val="005979AE"/>
    <w:rsid w:val="005C4BEB"/>
    <w:rsid w:val="005D319F"/>
    <w:rsid w:val="005D6CCD"/>
    <w:rsid w:val="005E3731"/>
    <w:rsid w:val="005F147D"/>
    <w:rsid w:val="005F1DCF"/>
    <w:rsid w:val="00625CD7"/>
    <w:rsid w:val="00641E5B"/>
    <w:rsid w:val="006667A2"/>
    <w:rsid w:val="006754FF"/>
    <w:rsid w:val="00682F7C"/>
    <w:rsid w:val="00686788"/>
    <w:rsid w:val="006B2C02"/>
    <w:rsid w:val="006C32C3"/>
    <w:rsid w:val="006E0902"/>
    <w:rsid w:val="006E59A9"/>
    <w:rsid w:val="006F235B"/>
    <w:rsid w:val="00701B09"/>
    <w:rsid w:val="0070585E"/>
    <w:rsid w:val="00710981"/>
    <w:rsid w:val="00712198"/>
    <w:rsid w:val="00712305"/>
    <w:rsid w:val="00717E73"/>
    <w:rsid w:val="00740BD9"/>
    <w:rsid w:val="00754FFD"/>
    <w:rsid w:val="007624BD"/>
    <w:rsid w:val="00766BC3"/>
    <w:rsid w:val="00777F4F"/>
    <w:rsid w:val="007825FC"/>
    <w:rsid w:val="00787C4C"/>
    <w:rsid w:val="007A2C9B"/>
    <w:rsid w:val="007B06C9"/>
    <w:rsid w:val="007C66A7"/>
    <w:rsid w:val="007D08C4"/>
    <w:rsid w:val="007D5085"/>
    <w:rsid w:val="007E5339"/>
    <w:rsid w:val="0081778E"/>
    <w:rsid w:val="00871310"/>
    <w:rsid w:val="00871746"/>
    <w:rsid w:val="008853F4"/>
    <w:rsid w:val="008B261E"/>
    <w:rsid w:val="008C6618"/>
    <w:rsid w:val="008D5F59"/>
    <w:rsid w:val="008F20D2"/>
    <w:rsid w:val="008F4C8E"/>
    <w:rsid w:val="00902F21"/>
    <w:rsid w:val="00907B1E"/>
    <w:rsid w:val="00914A43"/>
    <w:rsid w:val="00921277"/>
    <w:rsid w:val="009260EB"/>
    <w:rsid w:val="00947EF8"/>
    <w:rsid w:val="009559E5"/>
    <w:rsid w:val="00970F92"/>
    <w:rsid w:val="009B1CD4"/>
    <w:rsid w:val="009D4F1F"/>
    <w:rsid w:val="00A03C0F"/>
    <w:rsid w:val="00A046A6"/>
    <w:rsid w:val="00A145F4"/>
    <w:rsid w:val="00A21017"/>
    <w:rsid w:val="00A319B8"/>
    <w:rsid w:val="00A37EF5"/>
    <w:rsid w:val="00A508B8"/>
    <w:rsid w:val="00A6172E"/>
    <w:rsid w:val="00A64D8F"/>
    <w:rsid w:val="00A82511"/>
    <w:rsid w:val="00A85AD2"/>
    <w:rsid w:val="00AB30E2"/>
    <w:rsid w:val="00AB47CA"/>
    <w:rsid w:val="00AD1499"/>
    <w:rsid w:val="00AE7D0D"/>
    <w:rsid w:val="00AF06E9"/>
    <w:rsid w:val="00B01429"/>
    <w:rsid w:val="00B3267C"/>
    <w:rsid w:val="00B32982"/>
    <w:rsid w:val="00B352A1"/>
    <w:rsid w:val="00B50935"/>
    <w:rsid w:val="00B51AFA"/>
    <w:rsid w:val="00B5320A"/>
    <w:rsid w:val="00B75184"/>
    <w:rsid w:val="00B758D0"/>
    <w:rsid w:val="00B76C87"/>
    <w:rsid w:val="00B80EA1"/>
    <w:rsid w:val="00B94F65"/>
    <w:rsid w:val="00BD5D93"/>
    <w:rsid w:val="00BF2B68"/>
    <w:rsid w:val="00BF6EC4"/>
    <w:rsid w:val="00BF7FF2"/>
    <w:rsid w:val="00C1069F"/>
    <w:rsid w:val="00C13C82"/>
    <w:rsid w:val="00C14D6F"/>
    <w:rsid w:val="00C41E7F"/>
    <w:rsid w:val="00C5251E"/>
    <w:rsid w:val="00C67C3B"/>
    <w:rsid w:val="00C9011A"/>
    <w:rsid w:val="00C9419E"/>
    <w:rsid w:val="00C945DC"/>
    <w:rsid w:val="00CA1AE3"/>
    <w:rsid w:val="00CA1B73"/>
    <w:rsid w:val="00CB5887"/>
    <w:rsid w:val="00CC1488"/>
    <w:rsid w:val="00CC5859"/>
    <w:rsid w:val="00CD7D7A"/>
    <w:rsid w:val="00CE7FEB"/>
    <w:rsid w:val="00CF3AB5"/>
    <w:rsid w:val="00CF6A4B"/>
    <w:rsid w:val="00D22664"/>
    <w:rsid w:val="00D26EC4"/>
    <w:rsid w:val="00D65DF8"/>
    <w:rsid w:val="00D6678D"/>
    <w:rsid w:val="00D85CA1"/>
    <w:rsid w:val="00DA2D55"/>
    <w:rsid w:val="00DA5ACF"/>
    <w:rsid w:val="00DB4436"/>
    <w:rsid w:val="00DB53C2"/>
    <w:rsid w:val="00DE2C3C"/>
    <w:rsid w:val="00DF0F80"/>
    <w:rsid w:val="00DF66DB"/>
    <w:rsid w:val="00E16807"/>
    <w:rsid w:val="00E22A72"/>
    <w:rsid w:val="00E246D2"/>
    <w:rsid w:val="00E4084F"/>
    <w:rsid w:val="00E51E7E"/>
    <w:rsid w:val="00E5622F"/>
    <w:rsid w:val="00E975E2"/>
    <w:rsid w:val="00EA047F"/>
    <w:rsid w:val="00EB6D23"/>
    <w:rsid w:val="00ED03CD"/>
    <w:rsid w:val="00ED553E"/>
    <w:rsid w:val="00ED73DE"/>
    <w:rsid w:val="00F10C18"/>
    <w:rsid w:val="00F15479"/>
    <w:rsid w:val="00F54992"/>
    <w:rsid w:val="00F65B59"/>
    <w:rsid w:val="00F9091B"/>
    <w:rsid w:val="00F9136C"/>
    <w:rsid w:val="00FA2A5A"/>
    <w:rsid w:val="00FA6E97"/>
    <w:rsid w:val="00FB7835"/>
    <w:rsid w:val="00FC37B5"/>
    <w:rsid w:val="00FE0383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D5D93"/>
    <w:pPr>
      <w:keepNext/>
      <w:numPr>
        <w:numId w:val="2"/>
      </w:numPr>
      <w:outlineLvl w:val="0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5D9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Textkrper">
    <w:name w:val="Body Text"/>
    <w:basedOn w:val="Standard"/>
    <w:link w:val="TextkrperZchn"/>
    <w:semiHidden/>
    <w:unhideWhenUsed/>
    <w:rsid w:val="00BD5D93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BD5D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D5D93"/>
    <w:pPr>
      <w:keepNext/>
      <w:numPr>
        <w:numId w:val="2"/>
      </w:numPr>
      <w:outlineLvl w:val="0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5D9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Textkrper">
    <w:name w:val="Body Text"/>
    <w:basedOn w:val="Standard"/>
    <w:link w:val="TextkrperZchn"/>
    <w:semiHidden/>
    <w:unhideWhenUsed/>
    <w:rsid w:val="00BD5D93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BD5D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Fessel</dc:creator>
  <cp:lastModifiedBy>Fessel</cp:lastModifiedBy>
  <cp:revision>5</cp:revision>
  <dcterms:created xsi:type="dcterms:W3CDTF">2020-01-14T19:56:00Z</dcterms:created>
  <dcterms:modified xsi:type="dcterms:W3CDTF">2020-01-21T19:20:00Z</dcterms:modified>
</cp:coreProperties>
</file>